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Times New Roman" w:hAnsi="Times New Roman" w:eastAsia="仿宋" w:cs="Times New Roman"/>
          <w:color w:val="484848"/>
          <w:kern w:val="0"/>
          <w:sz w:val="32"/>
          <w:szCs w:val="32"/>
        </w:rPr>
      </w:pPr>
      <w:r>
        <w:rPr>
          <w:rFonts w:hint="eastAsia" w:ascii="Times New Roman" w:hAnsi="Times New Roman" w:eastAsia="仿宋" w:cs="Times New Roman"/>
          <w:color w:val="484848"/>
          <w:kern w:val="0"/>
          <w:sz w:val="32"/>
          <w:szCs w:val="32"/>
        </w:rPr>
        <w:t>附录</w:t>
      </w:r>
      <w:r>
        <w:rPr>
          <w:rFonts w:ascii="Times New Roman" w:hAnsi="Times New Roman" w:eastAsia="仿宋" w:cs="Times New Roman"/>
          <w:color w:val="484848"/>
          <w:kern w:val="0"/>
          <w:sz w:val="32"/>
          <w:szCs w:val="32"/>
        </w:rPr>
        <w:t>1</w:t>
      </w:r>
      <w:bookmarkStart w:id="0" w:name="_GoBack"/>
      <w:bookmarkEnd w:id="0"/>
    </w:p>
    <w:p>
      <w:pPr>
        <w:widowControl/>
        <w:jc w:val="center"/>
        <w:rPr>
          <w:rFonts w:ascii="Times New Roman" w:hAnsi="Times New Roman" w:eastAsia="仿宋_GB2312" w:cs="Times New Roman"/>
          <w:color w:val="484848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b/>
          <w:bCs/>
          <w:color w:val="484848"/>
          <w:kern w:val="0"/>
          <w:sz w:val="32"/>
          <w:szCs w:val="32"/>
        </w:rPr>
        <w:t>相关术语和定义</w:t>
      </w:r>
    </w:p>
    <w:p>
      <w:pPr>
        <w:widowControl/>
        <w:ind w:firstLine="630"/>
        <w:rPr>
          <w:rFonts w:ascii="Times New Roman" w:hAnsi="Times New Roman" w:eastAsia="仿宋" w:cs="Times New Roman"/>
          <w:color w:val="484848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color w:val="484848"/>
          <w:kern w:val="0"/>
          <w:sz w:val="32"/>
          <w:szCs w:val="32"/>
        </w:rPr>
        <w:t>1.</w:t>
      </w:r>
      <w:r>
        <w:rPr>
          <w:rFonts w:hint="eastAsia" w:ascii="Times New Roman" w:hAnsi="Times New Roman" w:eastAsia="仿宋" w:cs="Times New Roman"/>
          <w:color w:val="484848"/>
          <w:kern w:val="0"/>
          <w:sz w:val="32"/>
          <w:szCs w:val="32"/>
        </w:rPr>
        <w:t>水碘含量。</w:t>
      </w:r>
    </w:p>
    <w:p>
      <w:pPr>
        <w:widowControl/>
        <w:ind w:firstLine="630"/>
        <w:rPr>
          <w:rFonts w:ascii="Times New Roman" w:hAnsi="Times New Roman" w:eastAsia="仿宋" w:cs="Times New Roman"/>
          <w:color w:val="484848"/>
          <w:kern w:val="0"/>
          <w:sz w:val="32"/>
          <w:szCs w:val="32"/>
        </w:rPr>
      </w:pPr>
      <w:r>
        <w:rPr>
          <w:rFonts w:hint="eastAsia" w:ascii="Times New Roman" w:hAnsi="Times New Roman" w:eastAsia="仿宋" w:cs="Times New Roman"/>
          <w:color w:val="484848"/>
          <w:kern w:val="0"/>
          <w:sz w:val="32"/>
          <w:szCs w:val="32"/>
        </w:rPr>
        <w:t>把水碘值按顺序排列，居于中间位置的数为中位数，如果观察值有偶数个，取最中间的两个数值的平均数作为中位数，代表一个地区的水碘含量。</w:t>
      </w:r>
    </w:p>
    <w:p>
      <w:pPr>
        <w:widowControl/>
        <w:ind w:firstLine="630"/>
        <w:rPr>
          <w:rFonts w:ascii="Times New Roman" w:hAnsi="Times New Roman" w:eastAsia="仿宋" w:cs="Times New Roman"/>
          <w:color w:val="484848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color w:val="484848"/>
          <w:kern w:val="0"/>
          <w:sz w:val="32"/>
          <w:szCs w:val="32"/>
        </w:rPr>
        <w:t>2.</w:t>
      </w:r>
      <w:r>
        <w:rPr>
          <w:rFonts w:hint="eastAsia" w:ascii="Times New Roman" w:hAnsi="Times New Roman" w:eastAsia="仿宋" w:cs="Times New Roman"/>
          <w:color w:val="484848"/>
          <w:kern w:val="0"/>
          <w:sz w:val="32"/>
          <w:szCs w:val="32"/>
        </w:rPr>
        <w:t>碘缺乏病病区。</w:t>
      </w:r>
    </w:p>
    <w:p>
      <w:pPr>
        <w:widowControl/>
        <w:ind w:firstLine="630"/>
        <w:rPr>
          <w:rFonts w:ascii="Times New Roman" w:hAnsi="Times New Roman" w:eastAsia="仿宋" w:cs="Times New Roman"/>
          <w:color w:val="484848"/>
          <w:kern w:val="0"/>
          <w:sz w:val="32"/>
          <w:szCs w:val="32"/>
        </w:rPr>
      </w:pPr>
      <w:r>
        <w:rPr>
          <w:rFonts w:hint="eastAsia" w:ascii="Times New Roman" w:hAnsi="Times New Roman" w:eastAsia="仿宋" w:cs="Times New Roman"/>
          <w:color w:val="484848"/>
          <w:kern w:val="0"/>
          <w:sz w:val="32"/>
          <w:szCs w:val="32"/>
        </w:rPr>
        <w:t>以乡镇为单位，同时具备以下三项指标即可判定为碘缺乏病病区。</w:t>
      </w:r>
    </w:p>
    <w:p>
      <w:pPr>
        <w:widowControl/>
        <w:ind w:firstLine="630"/>
        <w:rPr>
          <w:rFonts w:ascii="Times New Roman" w:hAnsi="Times New Roman" w:eastAsia="仿宋" w:cs="Times New Roman"/>
          <w:color w:val="484848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color w:val="484848"/>
          <w:kern w:val="0"/>
          <w:sz w:val="32"/>
          <w:szCs w:val="32"/>
        </w:rPr>
        <w:t xml:space="preserve">a) </w:t>
      </w:r>
      <w:r>
        <w:rPr>
          <w:rFonts w:hint="eastAsia" w:ascii="Times New Roman" w:hAnsi="Times New Roman" w:eastAsia="仿宋" w:cs="Times New Roman"/>
          <w:color w:val="484848"/>
          <w:kern w:val="0"/>
          <w:sz w:val="32"/>
          <w:szCs w:val="32"/>
        </w:rPr>
        <w:t>水碘：饮用水中碘化物含量中位数小于</w:t>
      </w:r>
      <w:r>
        <w:rPr>
          <w:rFonts w:ascii="Times New Roman" w:hAnsi="Times New Roman" w:eastAsia="仿宋" w:cs="Times New Roman"/>
          <w:color w:val="484848"/>
          <w:kern w:val="0"/>
          <w:sz w:val="32"/>
          <w:szCs w:val="32"/>
        </w:rPr>
        <w:t>10.0μg/L</w:t>
      </w:r>
      <w:r>
        <w:rPr>
          <w:rFonts w:hint="eastAsia" w:ascii="Times New Roman" w:hAnsi="Times New Roman" w:eastAsia="仿宋" w:cs="Times New Roman"/>
          <w:color w:val="484848"/>
          <w:kern w:val="0"/>
          <w:sz w:val="32"/>
          <w:szCs w:val="32"/>
        </w:rPr>
        <w:t>；</w:t>
      </w:r>
    </w:p>
    <w:p>
      <w:pPr>
        <w:widowControl/>
        <w:rPr>
          <w:rFonts w:ascii="Times New Roman" w:hAnsi="Times New Roman" w:eastAsia="仿宋" w:cs="Times New Roman"/>
          <w:color w:val="484848"/>
          <w:kern w:val="0"/>
          <w:sz w:val="32"/>
          <w:szCs w:val="32"/>
        </w:rPr>
      </w:pPr>
      <w:r>
        <w:rPr>
          <w:rFonts w:hint="eastAsia" w:ascii="Times New Roman" w:hAnsi="Times New Roman" w:eastAsia="仿宋" w:cs="Times New Roman"/>
          <w:color w:val="484848"/>
          <w:kern w:val="0"/>
          <w:sz w:val="32"/>
          <w:szCs w:val="32"/>
        </w:rPr>
        <w:t>　　</w:t>
      </w:r>
      <w:r>
        <w:rPr>
          <w:rFonts w:ascii="Times New Roman" w:hAnsi="Times New Roman" w:eastAsia="仿宋" w:cs="Times New Roman"/>
          <w:color w:val="484848"/>
          <w:kern w:val="0"/>
          <w:sz w:val="32"/>
          <w:szCs w:val="32"/>
        </w:rPr>
        <w:t xml:space="preserve">b) </w:t>
      </w:r>
      <w:r>
        <w:rPr>
          <w:rFonts w:hint="eastAsia" w:ascii="Times New Roman" w:hAnsi="Times New Roman" w:eastAsia="仿宋" w:cs="Times New Roman"/>
          <w:color w:val="484848"/>
          <w:kern w:val="0"/>
          <w:sz w:val="32"/>
          <w:szCs w:val="32"/>
        </w:rPr>
        <w:t>尿碘：</w:t>
      </w:r>
      <w:r>
        <w:rPr>
          <w:rFonts w:ascii="Times New Roman" w:hAnsi="Times New Roman" w:eastAsia="仿宋" w:cs="Times New Roman"/>
          <w:color w:val="484848"/>
          <w:kern w:val="0"/>
          <w:sz w:val="32"/>
          <w:szCs w:val="32"/>
        </w:rPr>
        <w:t>8-10</w:t>
      </w:r>
      <w:r>
        <w:rPr>
          <w:rFonts w:hint="eastAsia" w:ascii="Times New Roman" w:hAnsi="Times New Roman" w:eastAsia="仿宋" w:cs="Times New Roman"/>
          <w:color w:val="484848"/>
          <w:kern w:val="0"/>
          <w:sz w:val="32"/>
          <w:szCs w:val="32"/>
        </w:rPr>
        <w:t>岁儿童尿碘中位数低于</w:t>
      </w:r>
      <w:r>
        <w:rPr>
          <w:rFonts w:ascii="Times New Roman" w:hAnsi="Times New Roman" w:eastAsia="仿宋" w:cs="Times New Roman"/>
          <w:color w:val="484848"/>
          <w:kern w:val="0"/>
          <w:sz w:val="32"/>
          <w:szCs w:val="32"/>
        </w:rPr>
        <w:t>100.0μg/L</w:t>
      </w:r>
      <w:r>
        <w:rPr>
          <w:rFonts w:hint="eastAsia" w:ascii="Times New Roman" w:hAnsi="Times New Roman" w:eastAsia="仿宋" w:cs="Times New Roman"/>
          <w:color w:val="484848"/>
          <w:kern w:val="0"/>
          <w:sz w:val="32"/>
          <w:szCs w:val="32"/>
        </w:rPr>
        <w:t>，且小于</w:t>
      </w:r>
      <w:r>
        <w:rPr>
          <w:rFonts w:ascii="Times New Roman" w:hAnsi="Times New Roman" w:eastAsia="仿宋" w:cs="Times New Roman"/>
          <w:color w:val="484848"/>
          <w:kern w:val="0"/>
          <w:sz w:val="32"/>
          <w:szCs w:val="32"/>
        </w:rPr>
        <w:t>50.00μg/L</w:t>
      </w:r>
      <w:r>
        <w:rPr>
          <w:rFonts w:hint="eastAsia" w:ascii="Times New Roman" w:hAnsi="Times New Roman" w:eastAsia="仿宋" w:cs="Times New Roman"/>
          <w:color w:val="484848"/>
          <w:kern w:val="0"/>
          <w:sz w:val="32"/>
          <w:szCs w:val="32"/>
        </w:rPr>
        <w:t>的样品数占</w:t>
      </w:r>
      <w:r>
        <w:rPr>
          <w:rFonts w:ascii="Times New Roman" w:hAnsi="Times New Roman" w:eastAsia="仿宋" w:cs="Times New Roman"/>
          <w:color w:val="484848"/>
          <w:kern w:val="0"/>
          <w:sz w:val="32"/>
          <w:szCs w:val="32"/>
        </w:rPr>
        <w:t>20%</w:t>
      </w:r>
      <w:r>
        <w:rPr>
          <w:rFonts w:hint="eastAsia" w:ascii="Times New Roman" w:hAnsi="Times New Roman" w:eastAsia="仿宋" w:cs="Times New Roman"/>
          <w:color w:val="484848"/>
          <w:kern w:val="0"/>
          <w:sz w:val="32"/>
          <w:szCs w:val="32"/>
        </w:rPr>
        <w:t>以上；</w:t>
      </w:r>
    </w:p>
    <w:p>
      <w:pPr>
        <w:widowControl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" w:cs="Times New Roman"/>
          <w:color w:val="FF0000"/>
          <w:kern w:val="0"/>
          <w:sz w:val="32"/>
          <w:szCs w:val="32"/>
        </w:rPr>
        <w:t>　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　</w:t>
      </w:r>
      <w:r>
        <w:rPr>
          <w:rFonts w:ascii="Times New Roman" w:hAnsi="Times New Roman" w:eastAsia="仿宋" w:cs="Times New Roman"/>
          <w:kern w:val="0"/>
          <w:sz w:val="32"/>
          <w:szCs w:val="32"/>
        </w:rPr>
        <w:t xml:space="preserve">c) 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甲状腺肿大率：</w:t>
      </w:r>
      <w:r>
        <w:rPr>
          <w:rFonts w:ascii="Times New Roman" w:hAnsi="Times New Roman" w:eastAsia="仿宋" w:cs="Times New Roman"/>
          <w:kern w:val="0"/>
          <w:sz w:val="32"/>
          <w:szCs w:val="32"/>
        </w:rPr>
        <w:t>8</w:t>
      </w:r>
      <w:r>
        <w:rPr>
          <w:rFonts w:ascii="Calibri" w:hAnsi="Calibri" w:eastAsia="仿宋" w:cs="Times New Roman"/>
          <w:kern w:val="0"/>
          <w:sz w:val="32"/>
          <w:szCs w:val="32"/>
        </w:rPr>
        <w:t>‒</w:t>
      </w:r>
      <w:r>
        <w:rPr>
          <w:rFonts w:ascii="Times New Roman" w:hAnsi="Times New Roman" w:eastAsia="仿宋" w:cs="Times New Roman"/>
          <w:kern w:val="0"/>
          <w:sz w:val="32"/>
          <w:szCs w:val="32"/>
        </w:rPr>
        <w:t>10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岁儿童甲状腺肿大率大于</w:t>
      </w:r>
      <w:r>
        <w:rPr>
          <w:rFonts w:ascii="Times New Roman" w:hAnsi="Times New Roman" w:eastAsia="仿宋" w:cs="Times New Roman"/>
          <w:kern w:val="0"/>
          <w:sz w:val="32"/>
          <w:szCs w:val="32"/>
        </w:rPr>
        <w:t>5%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。</w:t>
      </w:r>
    </w:p>
    <w:p>
      <w:pPr>
        <w:widowControl/>
        <w:ind w:firstLine="645"/>
        <w:rPr>
          <w:rFonts w:ascii="Times New Roman" w:hAnsi="Times New Roman" w:eastAsia="仿宋" w:cs="Times New Roman"/>
          <w:color w:val="484848"/>
          <w:kern w:val="0"/>
          <w:sz w:val="32"/>
          <w:szCs w:val="32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在采取了碘盐或其他防治措施的地区，符</w:t>
      </w:r>
      <w:r>
        <w:rPr>
          <w:rFonts w:hint="eastAsia" w:ascii="Times New Roman" w:hAnsi="Times New Roman" w:eastAsia="仿宋" w:cs="Times New Roman"/>
          <w:color w:val="484848"/>
          <w:kern w:val="0"/>
          <w:sz w:val="32"/>
          <w:szCs w:val="32"/>
        </w:rPr>
        <w:t>合</w:t>
      </w:r>
      <w:r>
        <w:rPr>
          <w:rFonts w:ascii="Times New Roman" w:hAnsi="Times New Roman" w:eastAsia="仿宋" w:cs="Times New Roman"/>
          <w:color w:val="484848"/>
          <w:kern w:val="0"/>
          <w:sz w:val="32"/>
          <w:szCs w:val="32"/>
        </w:rPr>
        <w:t>a)</w:t>
      </w:r>
      <w:r>
        <w:rPr>
          <w:rFonts w:hint="eastAsia" w:ascii="Times New Roman" w:hAnsi="Times New Roman" w:eastAsia="仿宋" w:cs="Times New Roman"/>
          <w:color w:val="484848"/>
          <w:kern w:val="0"/>
          <w:sz w:val="32"/>
          <w:szCs w:val="32"/>
        </w:rPr>
        <w:t>和</w:t>
      </w:r>
      <w:r>
        <w:rPr>
          <w:rFonts w:ascii="Times New Roman" w:hAnsi="Times New Roman" w:eastAsia="仿宋" w:cs="Times New Roman"/>
          <w:color w:val="484848"/>
          <w:kern w:val="0"/>
          <w:sz w:val="32"/>
          <w:szCs w:val="32"/>
        </w:rPr>
        <w:t>c)</w:t>
      </w:r>
      <w:r>
        <w:rPr>
          <w:rFonts w:hint="eastAsia" w:ascii="Times New Roman" w:hAnsi="Times New Roman" w:eastAsia="仿宋" w:cs="Times New Roman"/>
          <w:color w:val="484848"/>
          <w:kern w:val="0"/>
          <w:sz w:val="32"/>
          <w:szCs w:val="32"/>
        </w:rPr>
        <w:t>两项指标即可判定为碘缺乏病病区。</w:t>
      </w:r>
    </w:p>
    <w:p>
      <w:pPr>
        <w:widowControl/>
        <w:ind w:firstLine="645"/>
        <w:rPr>
          <w:rFonts w:ascii="Times New Roman" w:hAnsi="Times New Roman" w:eastAsia="仿宋" w:cs="Times New Roman"/>
          <w:color w:val="484848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color w:val="484848"/>
          <w:kern w:val="0"/>
          <w:sz w:val="32"/>
          <w:szCs w:val="32"/>
        </w:rPr>
        <w:t>3.</w:t>
      </w:r>
      <w:r>
        <w:rPr>
          <w:rFonts w:hint="eastAsia" w:ascii="Times New Roman" w:hAnsi="Times New Roman" w:eastAsia="仿宋" w:cs="Times New Roman"/>
          <w:color w:val="484848"/>
          <w:kern w:val="0"/>
          <w:sz w:val="32"/>
          <w:szCs w:val="32"/>
        </w:rPr>
        <w:t>水源性高碘地区。</w:t>
      </w:r>
    </w:p>
    <w:p>
      <w:r>
        <w:rPr>
          <w:rFonts w:hint="eastAsia" w:ascii="Times New Roman" w:hAnsi="Times New Roman" w:eastAsia="仿宋" w:cs="Times New Roman"/>
          <w:color w:val="484848"/>
          <w:kern w:val="0"/>
          <w:sz w:val="32"/>
          <w:szCs w:val="32"/>
        </w:rPr>
        <w:t>以行政村为单位，按照《水源性高碘地区和高碘病区的划定》（</w:t>
      </w:r>
      <w:r>
        <w:rPr>
          <w:rFonts w:ascii="Times New Roman" w:hAnsi="Times New Roman" w:eastAsia="仿宋" w:cs="Times New Roman"/>
          <w:color w:val="484848"/>
          <w:kern w:val="0"/>
          <w:sz w:val="32"/>
          <w:szCs w:val="32"/>
        </w:rPr>
        <w:t>GB/T19380-2016</w:t>
      </w:r>
      <w:r>
        <w:rPr>
          <w:rFonts w:hint="eastAsia" w:ascii="Times New Roman" w:hAnsi="Times New Roman" w:eastAsia="仿宋" w:cs="Times New Roman"/>
          <w:color w:val="484848"/>
          <w:kern w:val="0"/>
          <w:sz w:val="32"/>
          <w:szCs w:val="32"/>
        </w:rPr>
        <w:t>）规定的抽样和检测方法，居民饮用水水碘中位数</w:t>
      </w:r>
      <w:r>
        <w:rPr>
          <w:rFonts w:ascii="Times New Roman" w:hAnsi="Times New Roman" w:eastAsia="仿宋" w:cs="Times New Roman"/>
          <w:color w:val="484848"/>
          <w:kern w:val="0"/>
          <w:sz w:val="32"/>
          <w:szCs w:val="32"/>
        </w:rPr>
        <w:t>&gt;100μg/L</w:t>
      </w:r>
      <w:r>
        <w:rPr>
          <w:rFonts w:hint="eastAsia" w:ascii="Times New Roman" w:hAnsi="Times New Roman" w:eastAsia="仿宋" w:cs="Times New Roman"/>
          <w:color w:val="484848"/>
          <w:kern w:val="0"/>
          <w:sz w:val="32"/>
          <w:szCs w:val="32"/>
        </w:rPr>
        <w:t>的地区。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522C2E"/>
    <w:rsid w:val="2D522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2020-03-13T09:37:00Z</dcterms:created>
  <dc:creator>admin</dc:creator>
  <cp:lastModifiedBy>admin</cp:lastModifiedBy>
  <dcterms:modified xsi:type="dcterms:W3CDTF">2020-03-13T09:40:13Z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